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6460" w14:textId="70B24CD3" w:rsidR="00F1249E" w:rsidRPr="002D589F" w:rsidRDefault="00F1249E" w:rsidP="00F1249E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AF402E" w:rsidRPr="00AF402E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L-10</w:t>
      </w:r>
      <w:r w:rsidR="00AF402E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 </w:t>
      </w:r>
      <w:r w:rsidRPr="0083707A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Letter</w:t>
      </w:r>
      <w:r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e</w:t>
      </w:r>
      <w:r w:rsidR="00AF402E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 xml:space="preserve"> (curriculum Lettere, Arti e Spettacolo)</w:t>
      </w:r>
    </w:p>
    <w:p w14:paraId="167B8148" w14:textId="77777777" w:rsidR="00F1249E" w:rsidRPr="002C235F" w:rsidRDefault="00F1249E" w:rsidP="00F1249E">
      <w:pPr>
        <w:pStyle w:val="Default"/>
        <w:spacing w:line="276" w:lineRule="auto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E6646EB" w14:textId="1B1B68CC" w:rsidR="006E0623" w:rsidRPr="000B3E7C" w:rsidRDefault="00F1249E" w:rsidP="00F1249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 w:rsidRPr="0083707A">
        <w:rPr>
          <w:rFonts w:ascii="Calibri" w:hAnsi="Calibri" w:cs="Calibri"/>
          <w:bCs/>
          <w:color w:val="2E74B5"/>
          <w:sz w:val="28"/>
          <w:szCs w:val="28"/>
        </w:rPr>
        <w:t xml:space="preserve">Estetica/Aesthetics 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(6 cfu)</w:t>
      </w:r>
    </w:p>
    <w:p w14:paraId="55BFFA03" w14:textId="77777777" w:rsidR="000B3E7C" w:rsidRPr="000B3E7C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40"/>
        <w:gridCol w:w="738"/>
        <w:gridCol w:w="1942"/>
        <w:gridCol w:w="2217"/>
        <w:gridCol w:w="970"/>
        <w:gridCol w:w="831"/>
      </w:tblGrid>
      <w:tr w:rsidR="000B3E7C" w:rsidRPr="000B3E7C" w14:paraId="7C7DCEEF" w14:textId="77777777" w:rsidTr="00772C83">
        <w:tc>
          <w:tcPr>
            <w:tcW w:w="5000" w:type="pct"/>
            <w:gridSpan w:val="7"/>
            <w:shd w:val="clear" w:color="auto" w:fill="B2A1C7"/>
          </w:tcPr>
          <w:p w14:paraId="40E71783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Principali informazioni sull’insegnamento</w:t>
            </w:r>
          </w:p>
        </w:tc>
      </w:tr>
      <w:tr w:rsidR="000B3E7C" w:rsidRPr="000B3E7C" w14:paraId="2F08C737" w14:textId="77777777" w:rsidTr="00772C83">
        <w:tc>
          <w:tcPr>
            <w:tcW w:w="1486" w:type="pct"/>
            <w:gridSpan w:val="2"/>
          </w:tcPr>
          <w:p w14:paraId="01789892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A81C25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</w:t>
            </w:r>
            <w:proofErr w:type="gramEnd"/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anno</w:t>
            </w:r>
          </w:p>
        </w:tc>
      </w:tr>
      <w:tr w:rsidR="000B3E7C" w:rsidRPr="000B3E7C" w14:paraId="39DB7689" w14:textId="77777777" w:rsidTr="00772C83">
        <w:tc>
          <w:tcPr>
            <w:tcW w:w="1486" w:type="pct"/>
            <w:gridSpan w:val="2"/>
          </w:tcPr>
          <w:p w14:paraId="7ECF5EE2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7477FABF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Primo semestre (25.09.2023-07.12.2023)</w:t>
            </w:r>
          </w:p>
        </w:tc>
      </w:tr>
      <w:tr w:rsidR="000B3E7C" w:rsidRPr="000B3E7C" w14:paraId="639C82D2" w14:textId="77777777" w:rsidTr="00772C83">
        <w:tc>
          <w:tcPr>
            <w:tcW w:w="1486" w:type="pct"/>
            <w:gridSpan w:val="2"/>
          </w:tcPr>
          <w:p w14:paraId="335F3711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66D06416" w14:textId="2AAB8145" w:rsidR="000B3E7C" w:rsidRPr="000B3E7C" w:rsidRDefault="00367888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0B3E7C" w:rsidRPr="000B3E7C" w14:paraId="79BE9D17" w14:textId="77777777" w:rsidTr="00772C83">
        <w:tc>
          <w:tcPr>
            <w:tcW w:w="1486" w:type="pct"/>
            <w:gridSpan w:val="2"/>
          </w:tcPr>
          <w:p w14:paraId="0653A28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5"/>
          </w:tcPr>
          <w:p w14:paraId="518F18FE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Estetica (M-FIL/04)</w:t>
            </w:r>
          </w:p>
        </w:tc>
      </w:tr>
      <w:tr w:rsidR="000B3E7C" w:rsidRPr="000B3E7C" w14:paraId="427DF074" w14:textId="77777777" w:rsidTr="00772C83">
        <w:tc>
          <w:tcPr>
            <w:tcW w:w="1486" w:type="pct"/>
            <w:gridSpan w:val="2"/>
          </w:tcPr>
          <w:p w14:paraId="209D6CE0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266880B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Italiano</w:t>
            </w:r>
          </w:p>
        </w:tc>
      </w:tr>
      <w:tr w:rsidR="000B3E7C" w:rsidRPr="000B3E7C" w14:paraId="186BFA1A" w14:textId="77777777" w:rsidTr="00772C83">
        <w:tc>
          <w:tcPr>
            <w:tcW w:w="1486" w:type="pct"/>
            <w:gridSpan w:val="2"/>
          </w:tcPr>
          <w:p w14:paraId="747E5F8A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2F24235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Facoltativa </w:t>
            </w:r>
          </w:p>
        </w:tc>
      </w:tr>
      <w:tr w:rsidR="000B3E7C" w:rsidRPr="000B3E7C" w14:paraId="3AFCDDE9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6DD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CC5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67C3BC1C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1D9F596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1AF28F9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5188F56D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B146E7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DF95F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0B3E7C" w:rsidRPr="000B3E7C" w14:paraId="0CB40BB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E3C487E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9B5C0D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giacomo.fronzi@uniba.it</w:t>
            </w:r>
          </w:p>
        </w:tc>
      </w:tr>
      <w:tr w:rsidR="000B3E7C" w:rsidRPr="000B3E7C" w14:paraId="6300F1A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2323EDF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A2F796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E2FDFF8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643B4C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E7A8AE8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Dipartimento di Ricerca e Innovazione umanistica – Palazzo Ateneo, II piano</w:t>
            </w:r>
          </w:p>
        </w:tc>
      </w:tr>
      <w:tr w:rsidR="000B3E7C" w:rsidRPr="000B3E7C" w14:paraId="02725A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DAFDFF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3013BF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42413E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8022CD4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67EA8F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giorni e gli orari di ricevimento saranno comunicati all’inizio del corso</w:t>
            </w:r>
          </w:p>
        </w:tc>
      </w:tr>
      <w:tr w:rsidR="000B3E7C" w:rsidRPr="000B3E7C" w14:paraId="59AE30B0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0D91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3C6E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301E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F8E98" w14:textId="77777777" w:rsidR="000B3E7C" w:rsidRPr="000B3E7C" w:rsidRDefault="000B3E7C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6B3AEE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A8EC295" w14:textId="77777777" w:rsidR="000B3E7C" w:rsidRPr="000B3E7C" w:rsidRDefault="000B3E7C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21CB7E29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B72724C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64AB79B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  <w:tr w:rsidR="000B3E7C" w:rsidRPr="000B3E7C" w14:paraId="49267E4C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7097C844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ABFE2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CFF93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8DB6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Studio individuale</w:t>
            </w:r>
          </w:p>
        </w:tc>
      </w:tr>
      <w:tr w:rsidR="000B3E7C" w:rsidRPr="000B3E7C" w14:paraId="5AE5A226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4C80F23" w14:textId="3B92A51F" w:rsidR="000B3E7C" w:rsidRPr="000B3E7C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99046" w14:textId="1CBB194A" w:rsidR="000B3E7C" w:rsidRPr="000B3E7C" w:rsidRDefault="00367888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20B01D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11047A" w14:textId="4E054D8A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3678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08</w:t>
            </w:r>
          </w:p>
        </w:tc>
      </w:tr>
      <w:tr w:rsidR="000B3E7C" w:rsidRPr="000B3E7C" w14:paraId="758CE692" w14:textId="77777777" w:rsidTr="00772C8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68A5FE0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0B3E7C" w:rsidRPr="000B3E7C" w14:paraId="37683977" w14:textId="77777777" w:rsidTr="00772C8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397652D8" w14:textId="0B8AEDE4" w:rsidR="000B3E7C" w:rsidRPr="000B3E7C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50037" w14:textId="26CFA0C9" w:rsidR="000B3E7C" w:rsidRPr="000B3E7C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F5E5FE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51AF7" w14:textId="28D3C53B" w:rsidR="000B3E7C" w:rsidRPr="000B3E7C" w:rsidRDefault="00367888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4,4</w:t>
            </w:r>
          </w:p>
        </w:tc>
      </w:tr>
      <w:tr w:rsidR="000B3E7C" w:rsidRPr="000B3E7C" w14:paraId="09C66DA4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716BDD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CAC2" w14:textId="77777777" w:rsidR="000B3E7C" w:rsidRPr="000B3E7C" w:rsidRDefault="000B3E7C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BDA9B7C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8D51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C49DA3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</w:t>
            </w:r>
          </w:p>
          <w:p w14:paraId="1DE069D5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delle conoscenze di base dell’estetica filosofica e di alcuni suoi temi fondanti</w:t>
            </w:r>
          </w:p>
          <w:p w14:paraId="4548CE58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20E821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  <w:p w14:paraId="2A75EB84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lettura e comprensione di testi filosofici d’età moderna e contemporanea; miglioramento e/o potenziamento della comprensione del lessico filosofico.</w:t>
            </w:r>
          </w:p>
          <w:p w14:paraId="08D90345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85F1927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Autonomia di giudizio</w:t>
            </w:r>
          </w:p>
          <w:p w14:paraId="4354B1A7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rintracciare i nuclei problematici che possono emergere dai testi filosofici, collocandoli correttamente nella storia del pensiero.</w:t>
            </w:r>
          </w:p>
          <w:p w14:paraId="23302E42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A6B649C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Abilità comunicative</w:t>
            </w:r>
          </w:p>
          <w:p w14:paraId="54FF64DA" w14:textId="77777777" w:rsidR="000B3E7C" w:rsidRPr="000B3E7C" w:rsidRDefault="000B3E7C" w:rsidP="00772C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Comprensione del lessico filosofico di base e delle principali modalità e strutture argomentative.</w:t>
            </w:r>
          </w:p>
          <w:p w14:paraId="64CCD12A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0812D86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Capacità di apprendere</w:t>
            </w:r>
          </w:p>
          <w:p w14:paraId="16BC2B6C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Acquisizione della capacità di individuare nuovi concetti, nuovi metodi e nuovi contenuti; capacità di autovalutazione.</w:t>
            </w:r>
          </w:p>
        </w:tc>
      </w:tr>
      <w:tr w:rsidR="000B3E7C" w:rsidRPr="000B3E7C" w14:paraId="6655B9E8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C8BC84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9900D2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Conoscenza di base della storia della filosofia e del lessico filosofico.</w:t>
            </w:r>
          </w:p>
        </w:tc>
      </w:tr>
      <w:tr w:rsidR="000B3E7C" w:rsidRPr="000B3E7C" w14:paraId="6CFDC82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9D53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59A50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43F45A63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EF46FE2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52AB5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Didattica frontale che verrà integrata, laddove possibile, con incontri seminariali.</w:t>
            </w:r>
          </w:p>
        </w:tc>
      </w:tr>
      <w:tr w:rsidR="000B3E7C" w:rsidRPr="000B3E7C" w14:paraId="024DE8E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03C72BE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A0A9047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5DA75A7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ECE287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Risultati di apprendimento previsti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7BB0B24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679E64DF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784632E9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DD1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81C10E0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un’adeguata conoscenza dei testi e degli autori trattati</w:t>
            </w:r>
          </w:p>
          <w:p w14:paraId="27C0418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Comprendere i concetti centrali dell’estetica filosofica</w:t>
            </w:r>
          </w:p>
          <w:p w14:paraId="159DF3C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orientarsi nel pensiero filosofico moderno e contemporaneo</w:t>
            </w:r>
          </w:p>
        </w:tc>
      </w:tr>
      <w:tr w:rsidR="000B3E7C" w:rsidRPr="000B3E7C" w14:paraId="7A9FBF7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290ACB5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DD2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33E7299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Sviluppare la capacità di strutturare un’adeguata argomentazione</w:t>
            </w:r>
          </w:p>
          <w:p w14:paraId="4DBF1F10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istituire relazioni tra temi, concetti e autori</w:t>
            </w:r>
          </w:p>
          <w:p w14:paraId="38178D98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Acquisire la capacità di comprendere i testi filosofici</w:t>
            </w:r>
          </w:p>
        </w:tc>
      </w:tr>
      <w:tr w:rsidR="000B3E7C" w:rsidRPr="000B3E7C" w14:paraId="53B9FDB9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D80D108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</w:rPr>
              <w:t xml:space="preserve">DD3-5 </w:t>
            </w:r>
            <w:r w:rsidRPr="000B3E7C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Competenze trasversali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1DFFE8B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7934DDC7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un punto di vista personale e critico su questioni di storia e teoria della disciplina</w:t>
            </w:r>
          </w:p>
          <w:p w14:paraId="7C2D1FD6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6A2B6161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analisi ed esposizione</w:t>
            </w:r>
          </w:p>
          <w:p w14:paraId="1D43C432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capacità di redigere testi e relazioni su temi di pertinenza</w:t>
            </w:r>
          </w:p>
          <w:p w14:paraId="4BCA729A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Capacità di apprendere in modo autonomo</w:t>
            </w:r>
          </w:p>
          <w:p w14:paraId="309B5FE1" w14:textId="77777777" w:rsidR="000B3E7C" w:rsidRPr="000B3E7C" w:rsidRDefault="000B3E7C" w:rsidP="000B3E7C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Sviluppare la capacità di utilizzare le proprie conoscenze per esaminare e valutare problemi legati al mondo contemporaneo</w:t>
            </w:r>
          </w:p>
        </w:tc>
      </w:tr>
      <w:tr w:rsidR="000B3E7C" w:rsidRPr="000B3E7C" w14:paraId="06E25B98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478AE2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A7D06D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1) Teorie del bello dall’antichità ai giorni nostri</w:t>
            </w:r>
          </w:p>
          <w:p w14:paraId="50F3B4A5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 ricostruiranno le principali teorie del bello da Pitagora, Platone e Aristotele fino al XXI secolo (Danto, Scruton, Han), passando per Kant ed Hegel. </w:t>
            </w:r>
          </w:p>
          <w:p w14:paraId="30660FFC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2) Il ruolo della bellezza nella società contemporanea</w:t>
            </w:r>
          </w:p>
          <w:p w14:paraId="567FFB8E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 processo di estetizzazione del mondo ha assegnato alla bellezza una centralità che le società occidentali non avevano mai sperimentato. Ci si soffermerà, in particolare, su questi processi e sul carattere ambiguo della bellezza nella contemporaneità.</w:t>
            </w:r>
          </w:p>
        </w:tc>
      </w:tr>
      <w:tr w:rsidR="000B3E7C" w:rsidRPr="000B3E7C" w14:paraId="6A8B66F9" w14:textId="77777777" w:rsidTr="00772C8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4E08400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3F2" w14:textId="11343E03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Bodei, </w:t>
            </w: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Le forme del bello</w:t>
            </w: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il Mulino, Bologna 2017 (nuova ed.), pp. 232.</w:t>
            </w:r>
          </w:p>
          <w:p w14:paraId="25312CAB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B.-C. Han, </w:t>
            </w: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La salvezza del bello</w:t>
            </w: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Nottetempo, Milano 2019, pp. 112.</w:t>
            </w:r>
          </w:p>
        </w:tc>
      </w:tr>
      <w:tr w:rsidR="000B3E7C" w:rsidRPr="000B3E7C" w14:paraId="0D3210DB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FA49E9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20EE4" w14:textId="77777777" w:rsidR="000B3E7C" w:rsidRPr="000B3E7C" w:rsidRDefault="000B3E7C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Ulteriori indicazioni verranno fornite durante le lezioni</w:t>
            </w:r>
          </w:p>
        </w:tc>
      </w:tr>
      <w:tr w:rsidR="000B3E7C" w:rsidRPr="000B3E7C" w14:paraId="2B19CC8F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BD603C" w14:textId="77777777" w:rsidR="000B3E7C" w:rsidRPr="000B3E7C" w:rsidRDefault="000B3E7C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21C89D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86E1BE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C95329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F92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155AF060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3331DC8A" w14:textId="77777777" w:rsidR="000B3E7C" w:rsidRPr="000B3E7C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1AE66FC7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2F930F5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CC44680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70D17C1B" w14:textId="77777777" w:rsidR="000B3E7C" w:rsidRPr="000B3E7C" w:rsidRDefault="000B3E7C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La verifica dell’apprendimento avverrà attraverso un esame orale, articolato in circa 4-5 domande con approfondimento. L’argomento iniziale può essere proposto dallo studente. L’esame avrà la durata di circa 20-30 minuti per ciascuno/a studente/studentessa.</w:t>
            </w:r>
          </w:p>
        </w:tc>
      </w:tr>
      <w:tr w:rsidR="000B3E7C" w:rsidRPr="000B3E7C" w14:paraId="5D76004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7BF8BD7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Criteri di valutazione </w:t>
            </w:r>
          </w:p>
          <w:p w14:paraId="4A6482C8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0CFA1E08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</w:t>
            </w:r>
          </w:p>
          <w:p w14:paraId="725ED78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acquisito adeguate conoscenze disciplinari</w:t>
            </w:r>
          </w:p>
          <w:p w14:paraId="3B7FEA01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Conoscenza e capacità di comprensione applicate</w:t>
            </w:r>
          </w:p>
          <w:p w14:paraId="3541019B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avere un’adeguata padronanza dei contenuti e degli autori oggetto del corso</w:t>
            </w:r>
          </w:p>
          <w:p w14:paraId="19E7579A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zh-CN"/>
              </w:rPr>
              <w:t>Autonomia di giudizio</w:t>
            </w:r>
          </w:p>
          <w:p w14:paraId="5B185C9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formulare un punto di vista originale sulle questioni filosofiche trattate</w:t>
            </w:r>
          </w:p>
          <w:p w14:paraId="50A464FE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Abilità comunicative</w:t>
            </w:r>
          </w:p>
          <w:p w14:paraId="4DC34C33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Lo/a studente/studentessa dev’essere in grado di argomentare coerentemente e correttamente </w:t>
            </w:r>
          </w:p>
          <w:p w14:paraId="584F17E4" w14:textId="77777777" w:rsidR="000B3E7C" w:rsidRPr="000B3E7C" w:rsidRDefault="000B3E7C" w:rsidP="000B3E7C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zh-CN"/>
              </w:rPr>
            </w:pPr>
            <w:r w:rsidRPr="000B3E7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eastAsia="zh-CN"/>
              </w:rPr>
              <w:t>Capacità di apprendere</w:t>
            </w:r>
          </w:p>
          <w:p w14:paraId="6D547E16" w14:textId="77777777" w:rsidR="000B3E7C" w:rsidRPr="000B3E7C" w:rsidRDefault="000B3E7C" w:rsidP="000B3E7C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Lo/a studente/studentessa deve dimostrare di saper mettere in relazione tra loro gli argomenti studiati</w:t>
            </w:r>
          </w:p>
        </w:tc>
      </w:tr>
      <w:tr w:rsidR="000B3E7C" w:rsidRPr="000B3E7C" w14:paraId="118DEE87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2F5D8BF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Criteri di misurazione</w:t>
            </w:r>
          </w:p>
          <w:p w14:paraId="7C88E44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4E223667" w14:textId="70537E4E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Il voto finale è attribuito in trentesimi. L’esame si intende superato quando il voto è maggiore o uguale a 18. </w:t>
            </w:r>
          </w:p>
        </w:tc>
      </w:tr>
      <w:tr w:rsidR="000B3E7C" w:rsidRPr="000B3E7C" w14:paraId="7DEEB38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D04741B" w14:textId="77777777" w:rsidR="000B3E7C" w:rsidRPr="000B3E7C" w:rsidRDefault="000B3E7C" w:rsidP="00772C83">
            <w:pPr>
              <w:spacing w:line="276" w:lineRule="auto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0B3E7C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7EE6F916" w14:textId="77777777" w:rsidR="000B3E7C" w:rsidRPr="000B3E7C" w:rsidRDefault="000B3E7C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B3E7C" w:rsidRPr="000B3E7C" w14:paraId="7D04566E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96B4473" w14:textId="77777777" w:rsidR="000B3E7C" w:rsidRPr="000B3E7C" w:rsidRDefault="000B3E7C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5"/>
          </w:tcPr>
          <w:p w14:paraId="332DBEFA" w14:textId="77777777" w:rsidR="000B3E7C" w:rsidRPr="000B3E7C" w:rsidRDefault="000B3E7C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A74C375" w14:textId="77777777" w:rsidR="000B3E7C" w:rsidRPr="000B3E7C" w:rsidRDefault="000B3E7C" w:rsidP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A832F72" w14:textId="77777777" w:rsidR="000B3E7C" w:rsidRPr="000B3E7C" w:rsidRDefault="000B3E7C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B3E7C" w:rsidRPr="000B3E7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FCCD" w14:textId="77777777" w:rsidR="0042301F" w:rsidRDefault="0042301F" w:rsidP="000B3E7C">
      <w:r>
        <w:separator/>
      </w:r>
    </w:p>
  </w:endnote>
  <w:endnote w:type="continuationSeparator" w:id="0">
    <w:p w14:paraId="1B35587D" w14:textId="77777777" w:rsidR="0042301F" w:rsidRDefault="0042301F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8FB7" w14:textId="77777777" w:rsidR="0042301F" w:rsidRDefault="0042301F" w:rsidP="000B3E7C">
      <w:r>
        <w:separator/>
      </w:r>
    </w:p>
  </w:footnote>
  <w:footnote w:type="continuationSeparator" w:id="0">
    <w:p w14:paraId="7EFF0336" w14:textId="77777777" w:rsidR="0042301F" w:rsidRDefault="0042301F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368943">
    <w:abstractNumId w:val="1"/>
  </w:num>
  <w:num w:numId="2" w16cid:durableId="19827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B3E7C"/>
    <w:rsid w:val="0021539A"/>
    <w:rsid w:val="00367888"/>
    <w:rsid w:val="0042301F"/>
    <w:rsid w:val="00513EB8"/>
    <w:rsid w:val="005216FD"/>
    <w:rsid w:val="005D422B"/>
    <w:rsid w:val="006E0623"/>
    <w:rsid w:val="007143C1"/>
    <w:rsid w:val="00854383"/>
    <w:rsid w:val="00907963"/>
    <w:rsid w:val="009E0193"/>
    <w:rsid w:val="00AF402E"/>
    <w:rsid w:val="00C205FF"/>
    <w:rsid w:val="00D70B13"/>
    <w:rsid w:val="00F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customStyle="1" w:styleId="Default">
    <w:name w:val="Default"/>
    <w:rsid w:val="00F1249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6</cp:revision>
  <dcterms:created xsi:type="dcterms:W3CDTF">2023-05-30T14:44:00Z</dcterms:created>
  <dcterms:modified xsi:type="dcterms:W3CDTF">2023-06-01T07:33:00Z</dcterms:modified>
</cp:coreProperties>
</file>